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6FC3" w14:textId="0CA88148" w:rsidR="00705F73" w:rsidRPr="007F0F6A" w:rsidRDefault="00B47C53" w:rsidP="6A97EC1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F0F6A">
        <w:rPr>
          <w:rFonts w:ascii="Arial" w:hAnsi="Arial" w:cs="Arial"/>
          <w:b/>
          <w:bCs/>
          <w:sz w:val="24"/>
          <w:szCs w:val="24"/>
        </w:rPr>
        <w:t>6.1.4 PROGRAMA DE INCENTIVOS A LOS DOCENTES INVESTIGADORES</w:t>
      </w:r>
    </w:p>
    <w:p w14:paraId="18FE33E1" w14:textId="77777777" w:rsidR="00B0725D" w:rsidRPr="007F0F6A" w:rsidRDefault="00B0725D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 xml:space="preserve">A cargo de la Dirección: </w:t>
      </w:r>
      <w:r w:rsidRPr="007F0F6A">
        <w:rPr>
          <w:rFonts w:ascii="Arial" w:hAnsi="Arial" w:cs="Arial"/>
          <w:sz w:val="20"/>
          <w:szCs w:val="20"/>
        </w:rPr>
        <w:t>Mg. Yanina Armentano</w:t>
      </w:r>
    </w:p>
    <w:p w14:paraId="4CAAA364" w14:textId="684ACF43" w:rsidR="00705F73" w:rsidRPr="007F0F6A" w:rsidRDefault="00705F73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Coordinación:</w:t>
      </w:r>
      <w:r w:rsidRPr="007F0F6A">
        <w:rPr>
          <w:rFonts w:ascii="Arial" w:hAnsi="Arial" w:cs="Arial"/>
          <w:sz w:val="20"/>
          <w:szCs w:val="20"/>
        </w:rPr>
        <w:t xml:space="preserve"> </w:t>
      </w:r>
      <w:r w:rsidR="00866292" w:rsidRPr="007F0F6A">
        <w:rPr>
          <w:rFonts w:ascii="Arial" w:hAnsi="Arial" w:cs="Arial"/>
          <w:sz w:val="20"/>
          <w:szCs w:val="20"/>
        </w:rPr>
        <w:t xml:space="preserve">Prof. </w:t>
      </w:r>
      <w:r w:rsidRPr="007F0F6A">
        <w:rPr>
          <w:rFonts w:ascii="Arial" w:hAnsi="Arial" w:cs="Arial"/>
          <w:sz w:val="20"/>
          <w:szCs w:val="20"/>
        </w:rPr>
        <w:t xml:space="preserve">Adrián E. Alonso </w:t>
      </w:r>
    </w:p>
    <w:p w14:paraId="59E768F2" w14:textId="7869754C" w:rsidR="00381FE9" w:rsidRPr="007F0F6A" w:rsidRDefault="00381FE9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Equipo Administrativo:</w:t>
      </w:r>
      <w:r w:rsidRPr="007F0F6A">
        <w:rPr>
          <w:rFonts w:ascii="Arial" w:hAnsi="Arial" w:cs="Arial"/>
          <w:sz w:val="20"/>
          <w:szCs w:val="20"/>
        </w:rPr>
        <w:t xml:space="preserve"> Mirta Najle</w:t>
      </w:r>
    </w:p>
    <w:p w14:paraId="1DB1F0EB" w14:textId="2BED5419" w:rsidR="00381FE9" w:rsidRPr="007F0F6A" w:rsidRDefault="00381FE9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Equipo de Rendiciones de cuentas:</w:t>
      </w:r>
      <w:r w:rsidRPr="007F0F6A">
        <w:rPr>
          <w:rFonts w:ascii="Arial" w:hAnsi="Arial" w:cs="Arial"/>
          <w:sz w:val="20"/>
          <w:szCs w:val="20"/>
        </w:rPr>
        <w:t xml:space="preserve"> Mónica Cabrero</w:t>
      </w:r>
    </w:p>
    <w:p w14:paraId="5C1C101E" w14:textId="2488B6E0" w:rsidR="00381FE9" w:rsidRPr="007F0F6A" w:rsidRDefault="00381FE9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Equipo Técnico:</w:t>
      </w:r>
      <w:r w:rsidRPr="007F0F6A">
        <w:rPr>
          <w:rFonts w:ascii="Arial" w:hAnsi="Arial" w:cs="Arial"/>
          <w:sz w:val="20"/>
          <w:szCs w:val="20"/>
        </w:rPr>
        <w:t xml:space="preserve"> Gabriel Barral</w:t>
      </w:r>
      <w:r w:rsidR="00C10B4A" w:rsidRPr="007F0F6A">
        <w:rPr>
          <w:rFonts w:ascii="Arial" w:hAnsi="Arial" w:cs="Arial"/>
          <w:sz w:val="20"/>
          <w:szCs w:val="20"/>
        </w:rPr>
        <w:t xml:space="preserve"> y Joaquin Peña.</w:t>
      </w:r>
    </w:p>
    <w:p w14:paraId="25640F50" w14:textId="5B8ED120" w:rsidR="00705F73" w:rsidRPr="007F0F6A" w:rsidRDefault="00705F73" w:rsidP="00523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Ubicación física:</w:t>
      </w:r>
      <w:r w:rsidRPr="007F0F6A">
        <w:rPr>
          <w:rFonts w:ascii="Arial" w:hAnsi="Arial" w:cs="Arial"/>
          <w:sz w:val="20"/>
          <w:szCs w:val="20"/>
        </w:rPr>
        <w:t xml:space="preserve"> Montevideo 950, primer piso. CABA</w:t>
      </w:r>
    </w:p>
    <w:p w14:paraId="2CC11895" w14:textId="09BB68C9" w:rsidR="62EE81D5" w:rsidRPr="007F0F6A" w:rsidRDefault="62EE81D5" w:rsidP="00523045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F0F6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Teléfono</w:t>
      </w:r>
      <w:r w:rsidRPr="007F0F6A">
        <w:rPr>
          <w:rFonts w:ascii="Arial" w:eastAsia="Calibri" w:hAnsi="Arial" w:cs="Arial"/>
          <w:color w:val="000000" w:themeColor="text1"/>
          <w:sz w:val="20"/>
          <w:szCs w:val="20"/>
        </w:rPr>
        <w:t xml:space="preserve">: (54) (11) </w:t>
      </w:r>
      <w:r w:rsidR="67FCFC6F" w:rsidRPr="007F0F6A">
        <w:rPr>
          <w:rFonts w:ascii="Arial" w:eastAsia="Calibri" w:hAnsi="Arial" w:cs="Arial"/>
          <w:color w:val="000000" w:themeColor="text1"/>
          <w:sz w:val="20"/>
          <w:szCs w:val="20"/>
        </w:rPr>
        <w:t>4129-1979</w:t>
      </w:r>
      <w:r w:rsidRPr="007F0F6A">
        <w:rPr>
          <w:rFonts w:ascii="Arial" w:eastAsia="Calibri" w:hAnsi="Arial" w:cs="Arial"/>
          <w:color w:val="000000" w:themeColor="text1"/>
          <w:sz w:val="20"/>
          <w:szCs w:val="20"/>
        </w:rPr>
        <w:t xml:space="preserve"> | </w:t>
      </w:r>
      <w:r w:rsidRPr="007F0F6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Correo electrónico: </w:t>
      </w:r>
      <w:r w:rsidR="00B915BD" w:rsidRPr="007F0F6A">
        <w:rPr>
          <w:rFonts w:ascii="Arial" w:eastAsia="Calibri" w:hAnsi="Arial" w:cs="Arial"/>
          <w:sz w:val="20"/>
          <w:szCs w:val="20"/>
        </w:rPr>
        <w:t>incentivosdocentes@educacion.gob.ar</w:t>
      </w:r>
    </w:p>
    <w:p w14:paraId="1351752E" w14:textId="77777777" w:rsidR="000D1507" w:rsidRPr="007F0F6A" w:rsidRDefault="000D1507" w:rsidP="000D1507">
      <w:pPr>
        <w:jc w:val="both"/>
        <w:rPr>
          <w:rFonts w:ascii="Arial" w:hAnsi="Arial" w:cs="Arial"/>
          <w:sz w:val="20"/>
          <w:szCs w:val="20"/>
        </w:rPr>
      </w:pPr>
    </w:p>
    <w:p w14:paraId="25F2FCA8" w14:textId="1D196854" w:rsidR="000D1507" w:rsidRPr="007F0F6A" w:rsidRDefault="004F6E98" w:rsidP="000D150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F0F6A">
        <w:rPr>
          <w:rFonts w:ascii="Arial" w:hAnsi="Arial" w:cs="Arial"/>
          <w:b/>
          <w:bCs/>
          <w:sz w:val="20"/>
          <w:szCs w:val="20"/>
        </w:rPr>
        <w:t>Descrip</w:t>
      </w:r>
      <w:r w:rsidR="005119B2" w:rsidRPr="007F0F6A">
        <w:rPr>
          <w:rFonts w:ascii="Arial" w:hAnsi="Arial" w:cs="Arial"/>
          <w:b/>
          <w:bCs/>
          <w:sz w:val="20"/>
          <w:szCs w:val="20"/>
        </w:rPr>
        <w:t>c</w:t>
      </w:r>
      <w:r w:rsidRPr="007F0F6A">
        <w:rPr>
          <w:rFonts w:ascii="Arial" w:hAnsi="Arial" w:cs="Arial"/>
          <w:b/>
          <w:bCs/>
          <w:sz w:val="20"/>
          <w:szCs w:val="20"/>
        </w:rPr>
        <w:t>i</w:t>
      </w:r>
      <w:r w:rsidR="005119B2" w:rsidRPr="007F0F6A">
        <w:rPr>
          <w:rFonts w:ascii="Arial" w:hAnsi="Arial" w:cs="Arial"/>
          <w:b/>
          <w:bCs/>
          <w:sz w:val="20"/>
          <w:szCs w:val="20"/>
        </w:rPr>
        <w:t>ó</w:t>
      </w:r>
      <w:r w:rsidRPr="007F0F6A">
        <w:rPr>
          <w:rFonts w:ascii="Arial" w:hAnsi="Arial" w:cs="Arial"/>
          <w:b/>
          <w:bCs/>
          <w:sz w:val="20"/>
          <w:szCs w:val="20"/>
        </w:rPr>
        <w:t>n</w:t>
      </w:r>
    </w:p>
    <w:p w14:paraId="3933574B" w14:textId="3FC414A3" w:rsidR="004A4AB5" w:rsidRPr="007F0F6A" w:rsidRDefault="00705F73" w:rsidP="7EEF2E2D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 xml:space="preserve">El Programa de Incentivos a los Docentes Investigadores </w:t>
      </w:r>
      <w:r w:rsidR="008E32CA" w:rsidRPr="007F0F6A">
        <w:rPr>
          <w:rFonts w:ascii="Arial" w:hAnsi="Arial" w:cs="Arial"/>
          <w:sz w:val="20"/>
          <w:szCs w:val="20"/>
        </w:rPr>
        <w:t xml:space="preserve">se crea en el </w:t>
      </w:r>
      <w:r w:rsidR="008A20DB" w:rsidRPr="007F0F6A">
        <w:rPr>
          <w:rFonts w:ascii="Arial" w:hAnsi="Arial" w:cs="Arial"/>
          <w:sz w:val="20"/>
          <w:szCs w:val="20"/>
        </w:rPr>
        <w:t>año 19</w:t>
      </w:r>
      <w:r w:rsidR="00077161" w:rsidRPr="007F0F6A">
        <w:rPr>
          <w:rFonts w:ascii="Arial" w:hAnsi="Arial" w:cs="Arial"/>
          <w:sz w:val="20"/>
          <w:szCs w:val="20"/>
        </w:rPr>
        <w:t>9</w:t>
      </w:r>
      <w:r w:rsidR="008A20DB" w:rsidRPr="007F0F6A">
        <w:rPr>
          <w:rFonts w:ascii="Arial" w:hAnsi="Arial" w:cs="Arial"/>
          <w:sz w:val="20"/>
          <w:szCs w:val="20"/>
        </w:rPr>
        <w:t>4</w:t>
      </w:r>
      <w:r w:rsidR="4682A770" w:rsidRPr="007F0F6A">
        <w:rPr>
          <w:rFonts w:ascii="Arial" w:hAnsi="Arial" w:cs="Arial"/>
          <w:sz w:val="20"/>
          <w:szCs w:val="20"/>
        </w:rPr>
        <w:t>,</w:t>
      </w:r>
      <w:r w:rsidR="008A20DB" w:rsidRPr="007F0F6A">
        <w:rPr>
          <w:rFonts w:ascii="Arial" w:hAnsi="Arial" w:cs="Arial"/>
          <w:sz w:val="20"/>
          <w:szCs w:val="20"/>
        </w:rPr>
        <w:t xml:space="preserve"> en el </w:t>
      </w:r>
      <w:r w:rsidR="008E32CA" w:rsidRPr="007F0F6A">
        <w:rPr>
          <w:rFonts w:ascii="Arial" w:hAnsi="Arial" w:cs="Arial"/>
          <w:sz w:val="20"/>
          <w:szCs w:val="20"/>
        </w:rPr>
        <w:t xml:space="preserve">marco del Decreto </w:t>
      </w:r>
      <w:proofErr w:type="spellStart"/>
      <w:r w:rsidR="008E32CA" w:rsidRPr="007F0F6A">
        <w:rPr>
          <w:rFonts w:ascii="Arial" w:hAnsi="Arial" w:cs="Arial"/>
          <w:sz w:val="20"/>
          <w:szCs w:val="20"/>
        </w:rPr>
        <w:t>N°</w:t>
      </w:r>
      <w:proofErr w:type="spellEnd"/>
      <w:r w:rsidR="000E0F64" w:rsidRPr="007F0F6A">
        <w:rPr>
          <w:rFonts w:ascii="Arial" w:hAnsi="Arial" w:cs="Arial"/>
          <w:sz w:val="20"/>
          <w:szCs w:val="20"/>
        </w:rPr>
        <w:t xml:space="preserve"> 2.427/93</w:t>
      </w:r>
      <w:r w:rsidR="3F7DF25C" w:rsidRPr="007F0F6A">
        <w:rPr>
          <w:rFonts w:ascii="Arial" w:hAnsi="Arial" w:cs="Arial"/>
          <w:sz w:val="20"/>
          <w:szCs w:val="20"/>
        </w:rPr>
        <w:t>,</w:t>
      </w:r>
      <w:r w:rsidR="000E0F64" w:rsidRPr="007F0F6A">
        <w:rPr>
          <w:rFonts w:ascii="Arial" w:hAnsi="Arial" w:cs="Arial"/>
          <w:sz w:val="20"/>
          <w:szCs w:val="20"/>
        </w:rPr>
        <w:t xml:space="preserve"> </w:t>
      </w:r>
      <w:r w:rsidR="65227FB8" w:rsidRPr="007F0F6A">
        <w:rPr>
          <w:rFonts w:ascii="Arial" w:hAnsi="Arial" w:cs="Arial"/>
          <w:sz w:val="20"/>
          <w:szCs w:val="20"/>
        </w:rPr>
        <w:t>en el cual</w:t>
      </w:r>
      <w:r w:rsidR="000E0F64" w:rsidRPr="007F0F6A">
        <w:rPr>
          <w:rFonts w:ascii="Arial" w:hAnsi="Arial" w:cs="Arial"/>
          <w:sz w:val="20"/>
          <w:szCs w:val="20"/>
        </w:rPr>
        <w:t xml:space="preserve"> se establece un incentivo para el personal docente de las </w:t>
      </w:r>
      <w:r w:rsidR="7B94C54B" w:rsidRPr="007F0F6A">
        <w:rPr>
          <w:rFonts w:ascii="Arial" w:hAnsi="Arial" w:cs="Arial"/>
          <w:sz w:val="20"/>
          <w:szCs w:val="20"/>
        </w:rPr>
        <w:t>U</w:t>
      </w:r>
      <w:r w:rsidR="000E0F64" w:rsidRPr="007F0F6A">
        <w:rPr>
          <w:rFonts w:ascii="Arial" w:hAnsi="Arial" w:cs="Arial"/>
          <w:sz w:val="20"/>
          <w:szCs w:val="20"/>
        </w:rPr>
        <w:t xml:space="preserve">niversidades de </w:t>
      </w:r>
      <w:r w:rsidR="50DFB987" w:rsidRPr="007F0F6A">
        <w:rPr>
          <w:rFonts w:ascii="Arial" w:hAnsi="Arial" w:cs="Arial"/>
          <w:sz w:val="20"/>
          <w:szCs w:val="20"/>
        </w:rPr>
        <w:t>Gestión Estatal</w:t>
      </w:r>
      <w:r w:rsidR="000E0F64" w:rsidRPr="007F0F6A">
        <w:rPr>
          <w:rFonts w:ascii="Arial" w:hAnsi="Arial" w:cs="Arial"/>
          <w:sz w:val="20"/>
          <w:szCs w:val="20"/>
        </w:rPr>
        <w:t xml:space="preserve"> que participen en proyectos</w:t>
      </w:r>
      <w:r w:rsidR="008F0122" w:rsidRPr="007F0F6A">
        <w:rPr>
          <w:rFonts w:ascii="Arial" w:hAnsi="Arial" w:cs="Arial"/>
          <w:sz w:val="20"/>
          <w:szCs w:val="20"/>
        </w:rPr>
        <w:t xml:space="preserve"> de investigación</w:t>
      </w:r>
      <w:r w:rsidR="4ED18154" w:rsidRPr="007F0F6A">
        <w:rPr>
          <w:rFonts w:ascii="Arial" w:hAnsi="Arial" w:cs="Arial"/>
          <w:sz w:val="20"/>
          <w:szCs w:val="20"/>
        </w:rPr>
        <w:t>,</w:t>
      </w:r>
      <w:r w:rsidR="008F0122" w:rsidRPr="007F0F6A">
        <w:rPr>
          <w:rFonts w:ascii="Arial" w:hAnsi="Arial" w:cs="Arial"/>
          <w:sz w:val="20"/>
          <w:szCs w:val="20"/>
        </w:rPr>
        <w:t xml:space="preserve"> cumplan funciones docentes y hayan sido categorizados </w:t>
      </w:r>
      <w:r w:rsidR="004A4AB5" w:rsidRPr="007F0F6A">
        <w:rPr>
          <w:rFonts w:ascii="Arial" w:hAnsi="Arial" w:cs="Arial"/>
          <w:sz w:val="20"/>
          <w:szCs w:val="20"/>
        </w:rPr>
        <w:t>a estos efectos.</w:t>
      </w:r>
    </w:p>
    <w:p w14:paraId="67553904" w14:textId="3011CEA7" w:rsidR="00E23F96" w:rsidRPr="007F0F6A" w:rsidRDefault="00E23F96" w:rsidP="00E23F96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Dado que en las universidades se concentra el mayor número de investigadores del país</w:t>
      </w:r>
      <w:r w:rsidR="00977DDC" w:rsidRPr="007F0F6A">
        <w:rPr>
          <w:rFonts w:ascii="Arial" w:hAnsi="Arial" w:cs="Arial"/>
          <w:sz w:val="20"/>
          <w:szCs w:val="20"/>
        </w:rPr>
        <w:t>,</w:t>
      </w:r>
      <w:r w:rsidRPr="007F0F6A">
        <w:rPr>
          <w:rFonts w:ascii="Arial" w:hAnsi="Arial" w:cs="Arial"/>
          <w:sz w:val="20"/>
          <w:szCs w:val="20"/>
        </w:rPr>
        <w:t xml:space="preserve"> y que resulta necesario armonizar las pautas de evaluación de la actividad científica y tecnológica en todo el Sistema Universitario Nacional e implementar mecanismos adecuados de evaluación y categorización que conduzcan a la generación de un sistema más armónico en relación con las distintas instituciones científicas nacionales, es de suma importancia para el fortalecimiento del Sistema Nacional de Ciencia, Tecnología e Innovación tender a la convergencia entre la evaluación de los recursos humanos de investigación de las universidades con la de otros sistemas de investigadores del país.</w:t>
      </w:r>
    </w:p>
    <w:p w14:paraId="2BC86C81" w14:textId="1702FDDB" w:rsidR="00E23F96" w:rsidRPr="007F0F6A" w:rsidRDefault="004C5EFF" w:rsidP="04CCA61B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 xml:space="preserve">A lo largo de los </w:t>
      </w:r>
      <w:r w:rsidR="0045541E" w:rsidRPr="007F0F6A">
        <w:rPr>
          <w:rFonts w:ascii="Arial" w:hAnsi="Arial" w:cs="Arial"/>
          <w:sz w:val="20"/>
          <w:szCs w:val="20"/>
        </w:rPr>
        <w:t>2</w:t>
      </w:r>
      <w:r w:rsidR="00990EDF" w:rsidRPr="007F0F6A">
        <w:rPr>
          <w:rFonts w:ascii="Arial" w:hAnsi="Arial" w:cs="Arial"/>
          <w:sz w:val="20"/>
          <w:szCs w:val="20"/>
        </w:rPr>
        <w:t>9</w:t>
      </w:r>
      <w:r w:rsidR="0045541E" w:rsidRPr="007F0F6A">
        <w:rPr>
          <w:rFonts w:ascii="Arial" w:hAnsi="Arial" w:cs="Arial"/>
          <w:sz w:val="20"/>
          <w:szCs w:val="20"/>
        </w:rPr>
        <w:t xml:space="preserve"> </w:t>
      </w:r>
      <w:r w:rsidRPr="007F0F6A">
        <w:rPr>
          <w:rFonts w:ascii="Arial" w:hAnsi="Arial" w:cs="Arial"/>
          <w:sz w:val="20"/>
          <w:szCs w:val="20"/>
        </w:rPr>
        <w:t>años</w:t>
      </w:r>
      <w:r w:rsidR="00ED4217" w:rsidRPr="007F0F6A">
        <w:rPr>
          <w:rFonts w:ascii="Arial" w:hAnsi="Arial" w:cs="Arial"/>
          <w:sz w:val="20"/>
          <w:szCs w:val="20"/>
        </w:rPr>
        <w:t xml:space="preserve"> de aplicación del Programa </w:t>
      </w:r>
      <w:r w:rsidR="00191F8D" w:rsidRPr="007F0F6A">
        <w:rPr>
          <w:rFonts w:ascii="Arial" w:hAnsi="Arial" w:cs="Arial"/>
          <w:sz w:val="20"/>
          <w:szCs w:val="20"/>
        </w:rPr>
        <w:t>se puede observar un notable incremento en las actividades de investi</w:t>
      </w:r>
      <w:r w:rsidR="00AA68E7" w:rsidRPr="007F0F6A">
        <w:rPr>
          <w:rFonts w:ascii="Arial" w:hAnsi="Arial" w:cs="Arial"/>
          <w:sz w:val="20"/>
          <w:szCs w:val="20"/>
        </w:rPr>
        <w:t>gación en las universidades</w:t>
      </w:r>
      <w:r w:rsidR="3C3E948E" w:rsidRPr="007F0F6A">
        <w:rPr>
          <w:rFonts w:ascii="Arial" w:hAnsi="Arial" w:cs="Arial"/>
          <w:sz w:val="20"/>
          <w:szCs w:val="20"/>
        </w:rPr>
        <w:t>,</w:t>
      </w:r>
      <w:r w:rsidR="00980BEA" w:rsidRPr="007F0F6A">
        <w:rPr>
          <w:rFonts w:ascii="Arial" w:hAnsi="Arial" w:cs="Arial"/>
          <w:sz w:val="20"/>
          <w:szCs w:val="20"/>
        </w:rPr>
        <w:t xml:space="preserve"> d</w:t>
      </w:r>
      <w:r w:rsidR="00AA68E7" w:rsidRPr="007F0F6A">
        <w:rPr>
          <w:rFonts w:ascii="Arial" w:hAnsi="Arial" w:cs="Arial"/>
          <w:sz w:val="20"/>
          <w:szCs w:val="20"/>
        </w:rPr>
        <w:t>ado que la obtención de una categoría en el Programa significa un reconocimiento académico</w:t>
      </w:r>
      <w:r w:rsidR="00425F31" w:rsidRPr="007F0F6A">
        <w:rPr>
          <w:rFonts w:ascii="Arial" w:hAnsi="Arial" w:cs="Arial"/>
          <w:sz w:val="20"/>
          <w:szCs w:val="20"/>
        </w:rPr>
        <w:t xml:space="preserve">. Esto ha generado </w:t>
      </w:r>
      <w:r w:rsidR="00D4298C" w:rsidRPr="007F0F6A">
        <w:rPr>
          <w:rFonts w:ascii="Arial" w:hAnsi="Arial" w:cs="Arial"/>
          <w:sz w:val="20"/>
          <w:szCs w:val="20"/>
        </w:rPr>
        <w:t>la categorización de</w:t>
      </w:r>
      <w:r w:rsidR="00ED4217" w:rsidRPr="007F0F6A">
        <w:rPr>
          <w:rFonts w:ascii="Arial" w:hAnsi="Arial" w:cs="Arial"/>
          <w:sz w:val="20"/>
          <w:szCs w:val="20"/>
        </w:rPr>
        <w:t xml:space="preserve"> aproximadamente 60.000 docentes</w:t>
      </w:r>
      <w:r w:rsidR="00425F31" w:rsidRPr="007F0F6A">
        <w:rPr>
          <w:rFonts w:ascii="Arial" w:hAnsi="Arial" w:cs="Arial"/>
          <w:sz w:val="20"/>
          <w:szCs w:val="20"/>
        </w:rPr>
        <w:t>,</w:t>
      </w:r>
      <w:r w:rsidR="00201A8E" w:rsidRPr="007F0F6A">
        <w:rPr>
          <w:rFonts w:ascii="Arial" w:hAnsi="Arial" w:cs="Arial"/>
          <w:sz w:val="20"/>
          <w:szCs w:val="20"/>
        </w:rPr>
        <w:t xml:space="preserve"> de los cuales el 58,4% corresponden a </w:t>
      </w:r>
      <w:r w:rsidR="00A27FC7" w:rsidRPr="007F0F6A">
        <w:rPr>
          <w:rFonts w:ascii="Arial" w:hAnsi="Arial" w:cs="Arial"/>
          <w:sz w:val="20"/>
          <w:szCs w:val="20"/>
        </w:rPr>
        <w:t>las categorías IV y V</w:t>
      </w:r>
      <w:r w:rsidR="003B1032" w:rsidRPr="007F0F6A">
        <w:rPr>
          <w:rFonts w:ascii="Arial" w:hAnsi="Arial" w:cs="Arial"/>
          <w:sz w:val="20"/>
          <w:szCs w:val="20"/>
        </w:rPr>
        <w:t xml:space="preserve"> de docentes investigadores en formación</w:t>
      </w:r>
      <w:r w:rsidR="00A27FC7" w:rsidRPr="007F0F6A">
        <w:rPr>
          <w:rFonts w:ascii="Arial" w:hAnsi="Arial" w:cs="Arial"/>
          <w:sz w:val="20"/>
          <w:szCs w:val="20"/>
        </w:rPr>
        <w:t xml:space="preserve">, y el 41,6% a las categorías III, II y I </w:t>
      </w:r>
      <w:r w:rsidR="003B1032" w:rsidRPr="007F0F6A">
        <w:rPr>
          <w:rFonts w:ascii="Arial" w:hAnsi="Arial" w:cs="Arial"/>
          <w:sz w:val="20"/>
          <w:szCs w:val="20"/>
        </w:rPr>
        <w:t>de docentes investigadores con capacidad de dirección de proyectos.</w:t>
      </w:r>
    </w:p>
    <w:p w14:paraId="111214DD" w14:textId="77777777" w:rsidR="00B0712A" w:rsidRPr="007F0F6A" w:rsidRDefault="00B0712A" w:rsidP="04CCA61B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Durante el año 2022, se asignaron y transfirieron a las Instituciones Universitarias fondos en concepto de anticipo correspondiente a la Primera, Segunda, Tercera cuota y complementos de las actividades desarrolladas durante el año 2021.</w:t>
      </w:r>
    </w:p>
    <w:p w14:paraId="1FE46177" w14:textId="56FFACBC" w:rsidR="00B0712A" w:rsidRPr="007F0F6A" w:rsidRDefault="00B0712A" w:rsidP="04CCA61B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En el año 2023 se efectuó la asignación de fondos a las Universidades Nacionales de Gestión Estatal, en concepto de saldo, para completar el pago del incentivo a los Docentes Investigadores correspondiente a las actividades desarrolladas durante el año 2021, así como también, el pago de las cuotas anteriores y complementarias que se encontraran pendientes.</w:t>
      </w:r>
    </w:p>
    <w:p w14:paraId="09DE8FBD" w14:textId="26BD1F12" w:rsidR="006E6277" w:rsidRPr="007F0F6A" w:rsidRDefault="004C578F" w:rsidP="62EE81D5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Tiene como objetivo:</w:t>
      </w:r>
    </w:p>
    <w:p w14:paraId="1BF048D1" w14:textId="17F99FAB" w:rsidR="00A223FF" w:rsidRPr="007F0F6A" w:rsidRDefault="00A223FF" w:rsidP="7EEF2E2D">
      <w:pPr>
        <w:pStyle w:val="Prrafodelista"/>
        <w:numPr>
          <w:ilvl w:val="0"/>
          <w:numId w:val="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Fortalecer</w:t>
      </w:r>
      <w:r w:rsidR="00AC6A58" w:rsidRPr="007F0F6A">
        <w:rPr>
          <w:rFonts w:ascii="Arial" w:hAnsi="Arial" w:cs="Arial"/>
          <w:sz w:val="20"/>
          <w:szCs w:val="20"/>
        </w:rPr>
        <w:t xml:space="preserve"> y</w:t>
      </w:r>
      <w:r w:rsidR="00EB2A25" w:rsidRPr="007F0F6A">
        <w:rPr>
          <w:rFonts w:ascii="Arial" w:hAnsi="Arial" w:cs="Arial"/>
          <w:sz w:val="20"/>
          <w:szCs w:val="20"/>
        </w:rPr>
        <w:t xml:space="preserve"> promover </w:t>
      </w:r>
      <w:r w:rsidRPr="007F0F6A">
        <w:rPr>
          <w:rFonts w:ascii="Arial" w:hAnsi="Arial" w:cs="Arial"/>
          <w:sz w:val="20"/>
          <w:szCs w:val="20"/>
        </w:rPr>
        <w:t xml:space="preserve">las actividades de investigación y desarrollo </w:t>
      </w:r>
      <w:r w:rsidR="00C8223F" w:rsidRPr="007F0F6A">
        <w:rPr>
          <w:rFonts w:ascii="Arial" w:hAnsi="Arial" w:cs="Arial"/>
          <w:sz w:val="20"/>
          <w:szCs w:val="20"/>
        </w:rPr>
        <w:t xml:space="preserve">tecnológico en las </w:t>
      </w:r>
      <w:r w:rsidR="00AC4A5D" w:rsidRPr="007F0F6A">
        <w:rPr>
          <w:rFonts w:ascii="Arial" w:hAnsi="Arial" w:cs="Arial"/>
          <w:sz w:val="20"/>
          <w:szCs w:val="20"/>
        </w:rPr>
        <w:t>U</w:t>
      </w:r>
      <w:r w:rsidR="00C8223F" w:rsidRPr="007F0F6A">
        <w:rPr>
          <w:rFonts w:ascii="Arial" w:hAnsi="Arial" w:cs="Arial"/>
          <w:sz w:val="20"/>
          <w:szCs w:val="20"/>
        </w:rPr>
        <w:t>niversid</w:t>
      </w:r>
      <w:r w:rsidR="00AC4A5D" w:rsidRPr="007F0F6A">
        <w:rPr>
          <w:rFonts w:ascii="Arial" w:hAnsi="Arial" w:cs="Arial"/>
          <w:sz w:val="20"/>
          <w:szCs w:val="20"/>
        </w:rPr>
        <w:t xml:space="preserve">ades de </w:t>
      </w:r>
      <w:r w:rsidR="50DFB987" w:rsidRPr="007F0F6A">
        <w:rPr>
          <w:rFonts w:ascii="Arial" w:hAnsi="Arial" w:cs="Arial"/>
          <w:sz w:val="20"/>
          <w:szCs w:val="20"/>
        </w:rPr>
        <w:t>Gestión Estatal</w:t>
      </w:r>
      <w:r w:rsidR="00AC6A58" w:rsidRPr="007F0F6A">
        <w:rPr>
          <w:rFonts w:ascii="Arial" w:hAnsi="Arial" w:cs="Arial"/>
          <w:sz w:val="20"/>
          <w:szCs w:val="20"/>
        </w:rPr>
        <w:t>, incrementando el impacto que tienen</w:t>
      </w:r>
      <w:r w:rsidRPr="007F0F6A">
        <w:rPr>
          <w:rFonts w:ascii="Arial" w:hAnsi="Arial" w:cs="Arial"/>
          <w:sz w:val="20"/>
          <w:szCs w:val="20"/>
        </w:rPr>
        <w:t xml:space="preserve"> en la sociedad y contribuir al avance y la difusión del conocimiento</w:t>
      </w:r>
      <w:r w:rsidR="006E6277" w:rsidRPr="007F0F6A">
        <w:rPr>
          <w:rFonts w:ascii="Arial" w:hAnsi="Arial" w:cs="Arial"/>
          <w:sz w:val="20"/>
          <w:szCs w:val="20"/>
        </w:rPr>
        <w:t>.</w:t>
      </w:r>
    </w:p>
    <w:p w14:paraId="151D286F" w14:textId="77777777" w:rsidR="007F0F6A" w:rsidRDefault="007F0F6A" w:rsidP="00415933">
      <w:pPr>
        <w:jc w:val="both"/>
        <w:rPr>
          <w:rFonts w:ascii="Arial" w:hAnsi="Arial" w:cs="Arial"/>
          <w:sz w:val="20"/>
          <w:szCs w:val="20"/>
        </w:rPr>
      </w:pPr>
    </w:p>
    <w:p w14:paraId="38AF89E4" w14:textId="2EF8AD4D" w:rsidR="00415933" w:rsidRPr="007F0F6A" w:rsidRDefault="004C578F" w:rsidP="00415933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lastRenderedPageBreak/>
        <w:t>Destinatarios:</w:t>
      </w:r>
    </w:p>
    <w:p w14:paraId="77E7F1D4" w14:textId="7CF776BA" w:rsidR="004C578F" w:rsidRPr="007F0F6A" w:rsidRDefault="004C578F" w:rsidP="4F8CCD0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 xml:space="preserve">Universidades Nacionales y Provinciales de </w:t>
      </w:r>
      <w:r w:rsidR="50DFB987" w:rsidRPr="007F0F6A">
        <w:rPr>
          <w:rFonts w:ascii="Arial" w:hAnsi="Arial" w:cs="Arial"/>
          <w:sz w:val="20"/>
          <w:szCs w:val="20"/>
        </w:rPr>
        <w:t>Gestión Estatal</w:t>
      </w:r>
      <w:r w:rsidRPr="007F0F6A">
        <w:rPr>
          <w:rFonts w:ascii="Arial" w:hAnsi="Arial" w:cs="Arial"/>
          <w:sz w:val="20"/>
          <w:szCs w:val="20"/>
        </w:rPr>
        <w:t>.</w:t>
      </w:r>
    </w:p>
    <w:p w14:paraId="268EDF5E" w14:textId="33CA9613" w:rsidR="004C578F" w:rsidRPr="007F0F6A" w:rsidRDefault="00161125" w:rsidP="62EE81D5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Componentes financiados</w:t>
      </w:r>
      <w:r w:rsidR="004C578F" w:rsidRPr="007F0F6A">
        <w:rPr>
          <w:rFonts w:ascii="Arial" w:hAnsi="Arial" w:cs="Arial"/>
          <w:sz w:val="20"/>
          <w:szCs w:val="20"/>
        </w:rPr>
        <w:t>:</w:t>
      </w:r>
    </w:p>
    <w:p w14:paraId="01D6A86E" w14:textId="40A66FFB" w:rsidR="004C578F" w:rsidRPr="007F0F6A" w:rsidRDefault="00161125" w:rsidP="00415933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Becas a Docentes Investigadores</w:t>
      </w:r>
      <w:r w:rsidR="004C578F" w:rsidRPr="007F0F6A">
        <w:rPr>
          <w:rFonts w:ascii="Arial" w:hAnsi="Arial" w:cs="Arial"/>
          <w:sz w:val="20"/>
          <w:szCs w:val="20"/>
        </w:rPr>
        <w:t>.</w:t>
      </w:r>
    </w:p>
    <w:p w14:paraId="6593032C" w14:textId="623EEB96" w:rsidR="00161125" w:rsidRPr="007F0F6A" w:rsidRDefault="00161125" w:rsidP="62EE81D5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Rubros financiados:</w:t>
      </w:r>
    </w:p>
    <w:p w14:paraId="6D99B512" w14:textId="77777777" w:rsidR="00415933" w:rsidRPr="007F0F6A" w:rsidRDefault="00161125" w:rsidP="00C6417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Inciso 5: Transferencias.</w:t>
      </w:r>
    </w:p>
    <w:p w14:paraId="305F2739" w14:textId="75C65432" w:rsidR="00415933" w:rsidRPr="007F0F6A" w:rsidRDefault="00161125" w:rsidP="00415933">
      <w:p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Resultados alcanzados durante 202</w:t>
      </w:r>
      <w:r w:rsidR="009D03BC" w:rsidRPr="007F0F6A">
        <w:rPr>
          <w:rFonts w:ascii="Arial" w:hAnsi="Arial" w:cs="Arial"/>
          <w:sz w:val="20"/>
          <w:szCs w:val="20"/>
        </w:rPr>
        <w:t>3</w:t>
      </w:r>
      <w:r w:rsidRPr="007F0F6A">
        <w:rPr>
          <w:rFonts w:ascii="Arial" w:hAnsi="Arial" w:cs="Arial"/>
          <w:sz w:val="20"/>
          <w:szCs w:val="20"/>
        </w:rPr>
        <w:t>:</w:t>
      </w:r>
    </w:p>
    <w:p w14:paraId="307C8C25" w14:textId="4E3E725C" w:rsidR="00705F73" w:rsidRPr="00523045" w:rsidRDefault="00161125" w:rsidP="4F8CCD0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F0F6A">
        <w:rPr>
          <w:rFonts w:ascii="Arial" w:hAnsi="Arial" w:cs="Arial"/>
          <w:sz w:val="20"/>
          <w:szCs w:val="20"/>
        </w:rPr>
        <w:t>Se invirtió $</w:t>
      </w:r>
      <w:r w:rsidR="00AB5E78" w:rsidRPr="007F0F6A">
        <w:rPr>
          <w:rFonts w:ascii="Arial" w:hAnsi="Arial" w:cs="Arial"/>
          <w:sz w:val="20"/>
          <w:szCs w:val="20"/>
        </w:rPr>
        <w:t xml:space="preserve"> 880</w:t>
      </w:r>
      <w:r w:rsidR="1C81FDB0" w:rsidRPr="007F0F6A">
        <w:rPr>
          <w:rFonts w:ascii="Arial" w:hAnsi="Arial" w:cs="Arial"/>
          <w:sz w:val="20"/>
          <w:szCs w:val="20"/>
        </w:rPr>
        <w:t>.</w:t>
      </w:r>
      <w:r w:rsidR="00AB5E78" w:rsidRPr="007F0F6A">
        <w:rPr>
          <w:rFonts w:ascii="Arial" w:hAnsi="Arial" w:cs="Arial"/>
          <w:sz w:val="20"/>
          <w:szCs w:val="20"/>
        </w:rPr>
        <w:t>390</w:t>
      </w:r>
      <w:r w:rsidR="6FCFA584" w:rsidRPr="007F0F6A">
        <w:rPr>
          <w:rFonts w:ascii="Arial" w:hAnsi="Arial" w:cs="Arial"/>
          <w:sz w:val="20"/>
          <w:szCs w:val="20"/>
        </w:rPr>
        <w:t>.</w:t>
      </w:r>
      <w:r w:rsidR="00AB5E78" w:rsidRPr="007F0F6A">
        <w:rPr>
          <w:rFonts w:ascii="Arial" w:hAnsi="Arial" w:cs="Arial"/>
          <w:sz w:val="20"/>
          <w:szCs w:val="20"/>
        </w:rPr>
        <w:t>000</w:t>
      </w:r>
      <w:r w:rsidR="1F945018" w:rsidRPr="007F0F6A">
        <w:rPr>
          <w:rFonts w:ascii="Arial" w:hAnsi="Arial" w:cs="Arial"/>
          <w:sz w:val="20"/>
          <w:szCs w:val="20"/>
        </w:rPr>
        <w:t>,</w:t>
      </w:r>
      <w:r w:rsidR="00415933" w:rsidRPr="007F0F6A">
        <w:rPr>
          <w:rFonts w:ascii="Arial" w:hAnsi="Arial" w:cs="Arial"/>
          <w:sz w:val="20"/>
          <w:szCs w:val="20"/>
        </w:rPr>
        <w:t xml:space="preserve"> correspondientes a los años 202</w:t>
      </w:r>
      <w:r w:rsidR="004E00E1" w:rsidRPr="007F0F6A">
        <w:rPr>
          <w:rFonts w:ascii="Arial" w:hAnsi="Arial" w:cs="Arial"/>
          <w:sz w:val="20"/>
          <w:szCs w:val="20"/>
        </w:rPr>
        <w:t>1</w:t>
      </w:r>
      <w:r w:rsidR="00FD5C23" w:rsidRPr="007F0F6A">
        <w:rPr>
          <w:rFonts w:ascii="Arial" w:hAnsi="Arial" w:cs="Arial"/>
          <w:sz w:val="20"/>
          <w:szCs w:val="20"/>
        </w:rPr>
        <w:t xml:space="preserve"> y 202</w:t>
      </w:r>
      <w:r w:rsidR="004E00E1" w:rsidRPr="007F0F6A">
        <w:rPr>
          <w:rFonts w:ascii="Arial" w:hAnsi="Arial" w:cs="Arial"/>
          <w:sz w:val="20"/>
          <w:szCs w:val="20"/>
        </w:rPr>
        <w:t>2</w:t>
      </w:r>
      <w:r w:rsidR="0546A678" w:rsidRPr="007F0F6A">
        <w:rPr>
          <w:rFonts w:ascii="Arial" w:hAnsi="Arial" w:cs="Arial"/>
          <w:sz w:val="20"/>
          <w:szCs w:val="20"/>
        </w:rPr>
        <w:t>,</w:t>
      </w:r>
      <w:r w:rsidR="00415933" w:rsidRPr="007F0F6A">
        <w:rPr>
          <w:rFonts w:ascii="Arial" w:hAnsi="Arial" w:cs="Arial"/>
          <w:sz w:val="20"/>
          <w:szCs w:val="20"/>
        </w:rPr>
        <w:t xml:space="preserve"> en 4</w:t>
      </w:r>
      <w:r w:rsidR="006E1DE1" w:rsidRPr="007F0F6A">
        <w:rPr>
          <w:rFonts w:ascii="Arial" w:hAnsi="Arial" w:cs="Arial"/>
          <w:sz w:val="20"/>
          <w:szCs w:val="20"/>
        </w:rPr>
        <w:t>8</w:t>
      </w:r>
      <w:r w:rsidR="00415933" w:rsidRPr="007F0F6A">
        <w:rPr>
          <w:rFonts w:ascii="Arial" w:hAnsi="Arial" w:cs="Arial"/>
          <w:sz w:val="20"/>
          <w:szCs w:val="20"/>
        </w:rPr>
        <w:t xml:space="preserve"> Universidades Nacionales y 1 Universidad Provincial de </w:t>
      </w:r>
      <w:r w:rsidR="50DFB987" w:rsidRPr="007F0F6A">
        <w:rPr>
          <w:rFonts w:ascii="Arial" w:hAnsi="Arial" w:cs="Arial"/>
          <w:sz w:val="20"/>
          <w:szCs w:val="20"/>
        </w:rPr>
        <w:t>Gestión Estatal</w:t>
      </w:r>
      <w:r w:rsidR="00C5401E" w:rsidRPr="007F0F6A">
        <w:rPr>
          <w:rFonts w:ascii="Arial" w:hAnsi="Arial" w:cs="Arial"/>
          <w:sz w:val="20"/>
          <w:szCs w:val="20"/>
        </w:rPr>
        <w:t>.</w:t>
      </w:r>
    </w:p>
    <w:sectPr w:rsidR="00705F73" w:rsidRPr="00523045" w:rsidSect="004F6E98">
      <w:pgSz w:w="15840" w:h="12240" w:orient="landscape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9A23D" w14:textId="77777777" w:rsidR="00F12395" w:rsidRPr="007F0F6A" w:rsidRDefault="00F12395" w:rsidP="0075734A">
      <w:pPr>
        <w:spacing w:after="0" w:line="240" w:lineRule="auto"/>
      </w:pPr>
      <w:r w:rsidRPr="007F0F6A">
        <w:separator/>
      </w:r>
    </w:p>
  </w:endnote>
  <w:endnote w:type="continuationSeparator" w:id="0">
    <w:p w14:paraId="361FAE76" w14:textId="77777777" w:rsidR="00F12395" w:rsidRPr="007F0F6A" w:rsidRDefault="00F12395" w:rsidP="0075734A">
      <w:pPr>
        <w:spacing w:after="0" w:line="240" w:lineRule="auto"/>
      </w:pPr>
      <w:r w:rsidRPr="007F0F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9B2A7" w14:textId="77777777" w:rsidR="00F12395" w:rsidRPr="007F0F6A" w:rsidRDefault="00F12395" w:rsidP="0075734A">
      <w:pPr>
        <w:spacing w:after="0" w:line="240" w:lineRule="auto"/>
      </w:pPr>
      <w:r w:rsidRPr="007F0F6A">
        <w:separator/>
      </w:r>
    </w:p>
  </w:footnote>
  <w:footnote w:type="continuationSeparator" w:id="0">
    <w:p w14:paraId="70E62D9A" w14:textId="77777777" w:rsidR="00F12395" w:rsidRPr="007F0F6A" w:rsidRDefault="00F12395" w:rsidP="0075734A">
      <w:pPr>
        <w:spacing w:after="0" w:line="240" w:lineRule="auto"/>
      </w:pPr>
      <w:r w:rsidRPr="007F0F6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2384"/>
    <w:multiLevelType w:val="hybridMultilevel"/>
    <w:tmpl w:val="560EE0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C78BD"/>
    <w:multiLevelType w:val="hybridMultilevel"/>
    <w:tmpl w:val="5DEEF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24D9"/>
    <w:multiLevelType w:val="hybridMultilevel"/>
    <w:tmpl w:val="8640E5F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891DD7"/>
    <w:multiLevelType w:val="hybridMultilevel"/>
    <w:tmpl w:val="E49E07E4"/>
    <w:lvl w:ilvl="0" w:tplc="2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D7124F"/>
    <w:multiLevelType w:val="hybridMultilevel"/>
    <w:tmpl w:val="7BE6AE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841662">
    <w:abstractNumId w:val="3"/>
  </w:num>
  <w:num w:numId="2" w16cid:durableId="584337507">
    <w:abstractNumId w:val="4"/>
  </w:num>
  <w:num w:numId="3" w16cid:durableId="1906253772">
    <w:abstractNumId w:val="2"/>
  </w:num>
  <w:num w:numId="4" w16cid:durableId="1146363365">
    <w:abstractNumId w:val="0"/>
  </w:num>
  <w:num w:numId="5" w16cid:durableId="1645234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73"/>
    <w:rsid w:val="0000593D"/>
    <w:rsid w:val="00051A84"/>
    <w:rsid w:val="00074D49"/>
    <w:rsid w:val="00076A46"/>
    <w:rsid w:val="00077161"/>
    <w:rsid w:val="0009394D"/>
    <w:rsid w:val="000A2E5D"/>
    <w:rsid w:val="000C7492"/>
    <w:rsid w:val="000D1507"/>
    <w:rsid w:val="000E0F64"/>
    <w:rsid w:val="000E7B5C"/>
    <w:rsid w:val="000F51CA"/>
    <w:rsid w:val="000F73C8"/>
    <w:rsid w:val="00142B1B"/>
    <w:rsid w:val="001447D4"/>
    <w:rsid w:val="001549AD"/>
    <w:rsid w:val="00161125"/>
    <w:rsid w:val="00172B92"/>
    <w:rsid w:val="00191F8D"/>
    <w:rsid w:val="001C6B15"/>
    <w:rsid w:val="001E6649"/>
    <w:rsid w:val="00201A8E"/>
    <w:rsid w:val="00215EF3"/>
    <w:rsid w:val="00227428"/>
    <w:rsid w:val="0023769E"/>
    <w:rsid w:val="00265A6C"/>
    <w:rsid w:val="00274BC4"/>
    <w:rsid w:val="002771F3"/>
    <w:rsid w:val="002B07C4"/>
    <w:rsid w:val="002E496F"/>
    <w:rsid w:val="0034765E"/>
    <w:rsid w:val="0036589B"/>
    <w:rsid w:val="00381FE9"/>
    <w:rsid w:val="003833D8"/>
    <w:rsid w:val="003905F8"/>
    <w:rsid w:val="003A30C6"/>
    <w:rsid w:val="003B1032"/>
    <w:rsid w:val="003C2865"/>
    <w:rsid w:val="003D29F4"/>
    <w:rsid w:val="003D3D78"/>
    <w:rsid w:val="003E09BC"/>
    <w:rsid w:val="003F75DE"/>
    <w:rsid w:val="00415933"/>
    <w:rsid w:val="00425F31"/>
    <w:rsid w:val="00440E73"/>
    <w:rsid w:val="0045541E"/>
    <w:rsid w:val="00473357"/>
    <w:rsid w:val="004A4AB5"/>
    <w:rsid w:val="004B0E08"/>
    <w:rsid w:val="004B1A38"/>
    <w:rsid w:val="004C30D0"/>
    <w:rsid w:val="004C578F"/>
    <w:rsid w:val="004C5EFF"/>
    <w:rsid w:val="004E00E1"/>
    <w:rsid w:val="004F3A1C"/>
    <w:rsid w:val="004F6E98"/>
    <w:rsid w:val="00502849"/>
    <w:rsid w:val="005119B2"/>
    <w:rsid w:val="00523045"/>
    <w:rsid w:val="00526C4A"/>
    <w:rsid w:val="00533DDC"/>
    <w:rsid w:val="0054654A"/>
    <w:rsid w:val="00566572"/>
    <w:rsid w:val="005700AD"/>
    <w:rsid w:val="0058653F"/>
    <w:rsid w:val="0059119F"/>
    <w:rsid w:val="005C2D14"/>
    <w:rsid w:val="005C792E"/>
    <w:rsid w:val="005F2BEE"/>
    <w:rsid w:val="00625868"/>
    <w:rsid w:val="0063179A"/>
    <w:rsid w:val="00637F9D"/>
    <w:rsid w:val="00651D23"/>
    <w:rsid w:val="006830DD"/>
    <w:rsid w:val="006C25F6"/>
    <w:rsid w:val="006E1DE1"/>
    <w:rsid w:val="006E4ABE"/>
    <w:rsid w:val="006E4B2A"/>
    <w:rsid w:val="006E6277"/>
    <w:rsid w:val="00705F73"/>
    <w:rsid w:val="00720D2E"/>
    <w:rsid w:val="007253B4"/>
    <w:rsid w:val="0075734A"/>
    <w:rsid w:val="00766B4F"/>
    <w:rsid w:val="007B3E53"/>
    <w:rsid w:val="007C1838"/>
    <w:rsid w:val="007C1909"/>
    <w:rsid w:val="007F0F6A"/>
    <w:rsid w:val="007F63FE"/>
    <w:rsid w:val="008000B5"/>
    <w:rsid w:val="00802D43"/>
    <w:rsid w:val="00850B2D"/>
    <w:rsid w:val="00866292"/>
    <w:rsid w:val="00876909"/>
    <w:rsid w:val="00877CE9"/>
    <w:rsid w:val="008A20DB"/>
    <w:rsid w:val="008C402B"/>
    <w:rsid w:val="008E075E"/>
    <w:rsid w:val="008E32CA"/>
    <w:rsid w:val="008E6F34"/>
    <w:rsid w:val="008E6F82"/>
    <w:rsid w:val="008F0122"/>
    <w:rsid w:val="00916D9A"/>
    <w:rsid w:val="0093308C"/>
    <w:rsid w:val="009769E7"/>
    <w:rsid w:val="00977DDC"/>
    <w:rsid w:val="00980BEA"/>
    <w:rsid w:val="00987350"/>
    <w:rsid w:val="00987DC7"/>
    <w:rsid w:val="00990EDF"/>
    <w:rsid w:val="009A536B"/>
    <w:rsid w:val="009C2219"/>
    <w:rsid w:val="009D03BC"/>
    <w:rsid w:val="00A223FF"/>
    <w:rsid w:val="00A27FC7"/>
    <w:rsid w:val="00A45351"/>
    <w:rsid w:val="00AA68E7"/>
    <w:rsid w:val="00AB5AF5"/>
    <w:rsid w:val="00AB5E78"/>
    <w:rsid w:val="00AC4A5D"/>
    <w:rsid w:val="00AC6A58"/>
    <w:rsid w:val="00AD73F5"/>
    <w:rsid w:val="00B012E7"/>
    <w:rsid w:val="00B0712A"/>
    <w:rsid w:val="00B0725D"/>
    <w:rsid w:val="00B10262"/>
    <w:rsid w:val="00B107CF"/>
    <w:rsid w:val="00B146DF"/>
    <w:rsid w:val="00B23DE6"/>
    <w:rsid w:val="00B37AB0"/>
    <w:rsid w:val="00B47C53"/>
    <w:rsid w:val="00B54001"/>
    <w:rsid w:val="00B915BD"/>
    <w:rsid w:val="00BD7C12"/>
    <w:rsid w:val="00BE5972"/>
    <w:rsid w:val="00C10B4A"/>
    <w:rsid w:val="00C369AD"/>
    <w:rsid w:val="00C44B53"/>
    <w:rsid w:val="00C466D9"/>
    <w:rsid w:val="00C53AB2"/>
    <w:rsid w:val="00C5401E"/>
    <w:rsid w:val="00C64172"/>
    <w:rsid w:val="00C74D2D"/>
    <w:rsid w:val="00C8223F"/>
    <w:rsid w:val="00CD207D"/>
    <w:rsid w:val="00CE38BF"/>
    <w:rsid w:val="00D03714"/>
    <w:rsid w:val="00D06150"/>
    <w:rsid w:val="00D218C8"/>
    <w:rsid w:val="00D4298C"/>
    <w:rsid w:val="00D54981"/>
    <w:rsid w:val="00D566BF"/>
    <w:rsid w:val="00D81BDD"/>
    <w:rsid w:val="00DA0264"/>
    <w:rsid w:val="00DC4405"/>
    <w:rsid w:val="00E166EF"/>
    <w:rsid w:val="00E23F96"/>
    <w:rsid w:val="00E35CC5"/>
    <w:rsid w:val="00E55EA3"/>
    <w:rsid w:val="00E71BAA"/>
    <w:rsid w:val="00E72744"/>
    <w:rsid w:val="00EB2A25"/>
    <w:rsid w:val="00EC1DC4"/>
    <w:rsid w:val="00ED4217"/>
    <w:rsid w:val="00ED6230"/>
    <w:rsid w:val="00EF4208"/>
    <w:rsid w:val="00F0541A"/>
    <w:rsid w:val="00F12395"/>
    <w:rsid w:val="00F131DC"/>
    <w:rsid w:val="00F15735"/>
    <w:rsid w:val="00F30127"/>
    <w:rsid w:val="00F767CD"/>
    <w:rsid w:val="00FA564C"/>
    <w:rsid w:val="00FC32F8"/>
    <w:rsid w:val="00FD1AA6"/>
    <w:rsid w:val="00FD5C23"/>
    <w:rsid w:val="00FD7C68"/>
    <w:rsid w:val="00FF1A4E"/>
    <w:rsid w:val="02F44904"/>
    <w:rsid w:val="0315D01A"/>
    <w:rsid w:val="0422BB6A"/>
    <w:rsid w:val="04CCA61B"/>
    <w:rsid w:val="0546A678"/>
    <w:rsid w:val="05550DE4"/>
    <w:rsid w:val="06559038"/>
    <w:rsid w:val="0986EEE1"/>
    <w:rsid w:val="09EA6B02"/>
    <w:rsid w:val="10494067"/>
    <w:rsid w:val="199ADC7B"/>
    <w:rsid w:val="19A322EE"/>
    <w:rsid w:val="1C81FDB0"/>
    <w:rsid w:val="1E6E4D9E"/>
    <w:rsid w:val="1F945018"/>
    <w:rsid w:val="200A1DFF"/>
    <w:rsid w:val="221132B5"/>
    <w:rsid w:val="25F5C8DD"/>
    <w:rsid w:val="27B930E8"/>
    <w:rsid w:val="2BD74D56"/>
    <w:rsid w:val="2D944326"/>
    <w:rsid w:val="2E756CC1"/>
    <w:rsid w:val="2F7852EB"/>
    <w:rsid w:val="32D9CA78"/>
    <w:rsid w:val="34327D21"/>
    <w:rsid w:val="37E79FCF"/>
    <w:rsid w:val="3A165BFC"/>
    <w:rsid w:val="3B9DC80B"/>
    <w:rsid w:val="3C3E948E"/>
    <w:rsid w:val="3F7DF25C"/>
    <w:rsid w:val="40AD8FC8"/>
    <w:rsid w:val="425853E7"/>
    <w:rsid w:val="4544AA51"/>
    <w:rsid w:val="4682A770"/>
    <w:rsid w:val="469CDFF9"/>
    <w:rsid w:val="4722EAEE"/>
    <w:rsid w:val="48865F16"/>
    <w:rsid w:val="4AAEEE0B"/>
    <w:rsid w:val="4B5970BC"/>
    <w:rsid w:val="4ED18154"/>
    <w:rsid w:val="4F8CCD0D"/>
    <w:rsid w:val="4FADB78D"/>
    <w:rsid w:val="50DFB987"/>
    <w:rsid w:val="52A0D793"/>
    <w:rsid w:val="55F37DF5"/>
    <w:rsid w:val="5AC6EF18"/>
    <w:rsid w:val="5B29D5C0"/>
    <w:rsid w:val="5F02A82F"/>
    <w:rsid w:val="61808460"/>
    <w:rsid w:val="61861D4C"/>
    <w:rsid w:val="620EEDEF"/>
    <w:rsid w:val="62EE81D5"/>
    <w:rsid w:val="6345A085"/>
    <w:rsid w:val="65227FB8"/>
    <w:rsid w:val="655ED428"/>
    <w:rsid w:val="67EF8EB3"/>
    <w:rsid w:val="67FCFC6F"/>
    <w:rsid w:val="68C653F1"/>
    <w:rsid w:val="6A97EC1C"/>
    <w:rsid w:val="6C5E0AE9"/>
    <w:rsid w:val="6D51A096"/>
    <w:rsid w:val="6E0C4A6E"/>
    <w:rsid w:val="6EE52A84"/>
    <w:rsid w:val="6FCFA584"/>
    <w:rsid w:val="7226EEFC"/>
    <w:rsid w:val="74431F41"/>
    <w:rsid w:val="74C4CBBF"/>
    <w:rsid w:val="755B5AB8"/>
    <w:rsid w:val="7B94C54B"/>
    <w:rsid w:val="7C5383FD"/>
    <w:rsid w:val="7EEF2E2D"/>
    <w:rsid w:val="7F033BD4"/>
    <w:rsid w:val="7F73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C7B3C"/>
  <w15:chartTrackingRefBased/>
  <w15:docId w15:val="{93BEE8A9-D1A7-48F3-A3E5-DB0812EA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142B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2B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34A"/>
  </w:style>
  <w:style w:type="paragraph" w:styleId="Piedepgina">
    <w:name w:val="footer"/>
    <w:basedOn w:val="Normal"/>
    <w:link w:val="Piedepgina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34A"/>
  </w:style>
  <w:style w:type="paragraph" w:styleId="NormalWeb">
    <w:name w:val="Normal (Web)"/>
    <w:basedOn w:val="Normal"/>
    <w:uiPriority w:val="99"/>
    <w:semiHidden/>
    <w:unhideWhenUsed/>
    <w:rsid w:val="00725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3D3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Oyuela</dc:creator>
  <cp:keywords/>
  <dc:description/>
  <cp:lastModifiedBy>María Florencia Soto</cp:lastModifiedBy>
  <cp:revision>2</cp:revision>
  <dcterms:created xsi:type="dcterms:W3CDTF">2025-03-31T19:29:00Z</dcterms:created>
  <dcterms:modified xsi:type="dcterms:W3CDTF">2025-03-31T19:29:00Z</dcterms:modified>
</cp:coreProperties>
</file>